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B1C66" w14:textId="5AF018D2" w:rsidR="001A6B6E" w:rsidRPr="00A413FE" w:rsidRDefault="001A6B6E" w:rsidP="00A413FE">
      <w:r w:rsidRPr="00A413FE">
        <w:rPr>
          <w:noProof/>
        </w:rPr>
        <w:drawing>
          <wp:anchor distT="0" distB="0" distL="0" distR="0" simplePos="0" relativeHeight="251678208" behindDoc="1" locked="0" layoutInCell="1" allowOverlap="1" wp14:anchorId="060668EB" wp14:editId="47947EEE">
            <wp:simplePos x="0" y="0"/>
            <wp:positionH relativeFrom="margin">
              <wp:posOffset>302895</wp:posOffset>
            </wp:positionH>
            <wp:positionV relativeFrom="margin">
              <wp:posOffset>-781685</wp:posOffset>
            </wp:positionV>
            <wp:extent cx="998855" cy="1023620"/>
            <wp:effectExtent l="0" t="0" r="0" b="5080"/>
            <wp:wrapSquare wrapText="bothSides"/>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98855" cy="1023620"/>
                    </a:xfrm>
                    <a:prstGeom prst="rect">
                      <a:avLst/>
                    </a:prstGeom>
                  </pic:spPr>
                </pic:pic>
              </a:graphicData>
            </a:graphic>
            <wp14:sizeRelH relativeFrom="margin">
              <wp14:pctWidth>0</wp14:pctWidth>
            </wp14:sizeRelH>
            <wp14:sizeRelV relativeFrom="margin">
              <wp14:pctHeight>0</wp14:pctHeight>
            </wp14:sizeRelV>
          </wp:anchor>
        </w:drawing>
      </w:r>
    </w:p>
    <w:p w14:paraId="7BDCEC86" w14:textId="421FBDC9" w:rsidR="0033708C" w:rsidRPr="00A413FE" w:rsidRDefault="00EF7012" w:rsidP="00A413FE">
      <w:r w:rsidRPr="00B87D22">
        <w:rPr>
          <w:noProof/>
          <w:sz w:val="20"/>
          <w:lang w:eastAsia="fr-FR"/>
        </w:rPr>
        <mc:AlternateContent>
          <mc:Choice Requires="wps">
            <w:drawing>
              <wp:anchor distT="0" distB="0" distL="114300" distR="114300" simplePos="0" relativeHeight="251692544" behindDoc="0" locked="0" layoutInCell="1" allowOverlap="1" wp14:anchorId="43D391EE" wp14:editId="51D59486">
                <wp:simplePos x="0" y="0"/>
                <wp:positionH relativeFrom="column">
                  <wp:posOffset>-388620</wp:posOffset>
                </wp:positionH>
                <wp:positionV relativeFrom="paragraph">
                  <wp:posOffset>169545</wp:posOffset>
                </wp:positionV>
                <wp:extent cx="2385060" cy="1367790"/>
                <wp:effectExtent l="0" t="0" r="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367790"/>
                        </a:xfrm>
                        <a:prstGeom prst="rect">
                          <a:avLst/>
                        </a:prstGeom>
                        <a:noFill/>
                        <a:ln w="9525">
                          <a:noFill/>
                          <a:miter lim="800000"/>
                          <a:headEnd/>
                          <a:tailEnd/>
                        </a:ln>
                      </wps:spPr>
                      <wps:txbx>
                        <w:txbxContent>
                          <w:p w14:paraId="7B94319C" w14:textId="77777777" w:rsidR="00EF7012" w:rsidRPr="00EF7012" w:rsidRDefault="00EF7012" w:rsidP="00EF7012">
                            <w:pPr>
                              <w:pBdr>
                                <w:bottom w:val="single" w:sz="4" w:space="1" w:color="auto"/>
                              </w:pBdr>
                              <w:ind w:left="851" w:right="989"/>
                              <w:jc w:val="center"/>
                              <w:rPr>
                                <w:color w:val="4D4D4D"/>
                                <w:sz w:val="18"/>
                                <w:szCs w:val="18"/>
                                <w:lang w:val="nl-NL"/>
                              </w:rPr>
                            </w:pPr>
                            <w:r>
                              <w:fldChar w:fldCharType="begin"/>
                            </w:r>
                            <w:r>
                              <w:instrText>HYPERLINK "http://www.quechoisir.org"</w:instrText>
                            </w:r>
                            <w:r>
                              <w:fldChar w:fldCharType="separate"/>
                            </w:r>
                            <w:r w:rsidRPr="0000657A">
                              <w:rPr>
                                <w:rStyle w:val="Lienhypertexte"/>
                                <w:color w:val="4D4D4D"/>
                                <w:sz w:val="18"/>
                                <w:szCs w:val="18"/>
                              </w:rPr>
                              <w:t>www.quechoisir.org</w:t>
                            </w:r>
                            <w:r>
                              <w:rPr>
                                <w:rStyle w:val="Lienhypertexte"/>
                                <w:color w:val="4D4D4D"/>
                                <w:sz w:val="18"/>
                                <w:szCs w:val="18"/>
                                <w:u w:val="none"/>
                              </w:rPr>
                              <w:fldChar w:fldCharType="end"/>
                            </w:r>
                          </w:p>
                          <w:p w14:paraId="7F4033CA" w14:textId="77777777" w:rsidR="00EF7012" w:rsidRPr="00EF7012" w:rsidRDefault="00EF7012" w:rsidP="00EF7012">
                            <w:pPr>
                              <w:jc w:val="center"/>
                              <w:rPr>
                                <w:color w:val="4D4D4D"/>
                                <w:sz w:val="18"/>
                                <w:szCs w:val="18"/>
                                <w:lang w:val="nl-NL"/>
                              </w:rPr>
                            </w:pPr>
                            <w:r w:rsidRPr="00EF7012">
                              <w:rPr>
                                <w:color w:val="4D4D4D"/>
                                <w:sz w:val="18"/>
                                <w:szCs w:val="18"/>
                                <w:lang w:val="nl-NL"/>
                              </w:rPr>
                              <w:t xml:space="preserve">233, </w:t>
                            </w:r>
                            <w:proofErr w:type="spellStart"/>
                            <w:r w:rsidRPr="00EF7012">
                              <w:rPr>
                                <w:color w:val="4D4D4D"/>
                                <w:sz w:val="18"/>
                                <w:szCs w:val="18"/>
                                <w:lang w:val="nl-NL"/>
                              </w:rPr>
                              <w:t>bd</w:t>
                            </w:r>
                            <w:proofErr w:type="spellEnd"/>
                            <w:r w:rsidRPr="00EF7012">
                              <w:rPr>
                                <w:color w:val="4D4D4D"/>
                                <w:sz w:val="18"/>
                                <w:szCs w:val="18"/>
                                <w:lang w:val="nl-NL"/>
                              </w:rPr>
                              <w:t xml:space="preserve"> Voltaire</w:t>
                            </w:r>
                          </w:p>
                          <w:p w14:paraId="5D0FD1FA" w14:textId="77777777" w:rsidR="00EF7012" w:rsidRPr="0000657A" w:rsidRDefault="00EF7012" w:rsidP="00EF7012">
                            <w:pPr>
                              <w:pBdr>
                                <w:bottom w:val="single" w:sz="4" w:space="1" w:color="auto"/>
                              </w:pBdr>
                              <w:ind w:left="851" w:right="989"/>
                              <w:jc w:val="center"/>
                              <w:rPr>
                                <w:color w:val="4D4D4D"/>
                                <w:sz w:val="18"/>
                                <w:szCs w:val="18"/>
                              </w:rPr>
                            </w:pPr>
                            <w:r w:rsidRPr="0000657A">
                              <w:rPr>
                                <w:color w:val="4D4D4D"/>
                                <w:sz w:val="18"/>
                                <w:szCs w:val="18"/>
                              </w:rPr>
                              <w:t>75011 PARIS</w:t>
                            </w:r>
                          </w:p>
                          <w:p w14:paraId="42F75EED" w14:textId="77777777" w:rsidR="00EF7012" w:rsidRDefault="00EF7012" w:rsidP="00EF7012">
                            <w:pPr>
                              <w:tabs>
                                <w:tab w:val="center" w:pos="1616"/>
                              </w:tabs>
                              <w:rPr>
                                <w:color w:val="4D4D4D"/>
                                <w:sz w:val="18"/>
                                <w:szCs w:val="18"/>
                              </w:rPr>
                            </w:pPr>
                            <w:r>
                              <w:rPr>
                                <w:color w:val="4D4D4D"/>
                                <w:sz w:val="18"/>
                                <w:szCs w:val="18"/>
                              </w:rPr>
                              <w:tab/>
                            </w:r>
                            <w:r w:rsidRPr="0000657A">
                              <w:rPr>
                                <w:color w:val="4D4D4D"/>
                                <w:sz w:val="18"/>
                                <w:szCs w:val="18"/>
                              </w:rPr>
                              <w:t>Tél. 01 43 48 55 48</w:t>
                            </w:r>
                          </w:p>
                          <w:p w14:paraId="270194A6" w14:textId="77777777" w:rsidR="00EF7012" w:rsidRPr="0000657A" w:rsidRDefault="00EF7012" w:rsidP="00EF7012">
                            <w:pPr>
                              <w:tabs>
                                <w:tab w:val="center" w:pos="1616"/>
                              </w:tabs>
                              <w:ind w:firstLine="709"/>
                              <w:rPr>
                                <w:color w:val="4D4D4D"/>
                                <w:sz w:val="18"/>
                                <w:szCs w:val="18"/>
                              </w:rPr>
                            </w:pPr>
                            <w:r>
                              <w:rPr>
                                <w:color w:val="4D4D4D"/>
                                <w:sz w:val="18"/>
                                <w:szCs w:val="18"/>
                              </w:rPr>
                              <w:tab/>
                            </w:r>
                            <w:r w:rsidRPr="0000657A">
                              <w:rPr>
                                <w:color w:val="4D4D4D"/>
                                <w:sz w:val="18"/>
                                <w:szCs w:val="18"/>
                              </w:rPr>
                              <w:t>Fax 01 43 48 44 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3D391EE" id="_x0000_t202" coordsize="21600,21600" o:spt="202" path="m,l,21600r21600,l21600,xe">
                <v:stroke joinstyle="miter"/>
                <v:path gradientshapeok="t" o:connecttype="rect"/>
              </v:shapetype>
              <v:shape id="Zone de texte 2" o:spid="_x0000_s1026" type="#_x0000_t202" style="position:absolute;margin-left:-30.6pt;margin-top:13.35pt;width:187.8pt;height:107.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" filled="f" stroked="f">
                <v:textbox>
                  <w:txbxContent>
                    <w:p w14:paraId="7B94319C" w14:textId="77777777" w:rsidR="00EF7012" w:rsidRPr="00EF7012" w:rsidRDefault="00EF7012" w:rsidP="00EF7012">
                      <w:pPr>
                        <w:pBdr>
                          <w:bottom w:val="single" w:sz="4" w:space="1" w:color="auto"/>
                        </w:pBdr>
                        <w:ind w:left="851" w:right="989"/>
                        <w:jc w:val="center"/>
                        <w:rPr>
                          <w:color w:val="4D4D4D"/>
                          <w:sz w:val="18"/>
                          <w:szCs w:val="18"/>
                          <w:lang w:val="nl-NL"/>
                        </w:rPr>
                      </w:pPr>
                      <w:r>
                        <w:fldChar w:fldCharType="begin"/>
                      </w:r>
                      <w:r>
                        <w:instrText>HYPERLINK "http://www.quechoisir.org"</w:instrText>
                      </w:r>
                      <w:r>
                        <w:fldChar w:fldCharType="separate"/>
                      </w:r>
                      <w:r w:rsidRPr="0000657A">
                        <w:rPr>
                          <w:rStyle w:val="Lienhypertexte"/>
                          <w:color w:val="4D4D4D"/>
                          <w:sz w:val="18"/>
                          <w:szCs w:val="18"/>
                        </w:rPr>
                        <w:t>www.quechoisir.org</w:t>
                      </w:r>
                      <w:r>
                        <w:rPr>
                          <w:rStyle w:val="Lienhypertexte"/>
                          <w:color w:val="4D4D4D"/>
                          <w:sz w:val="18"/>
                          <w:szCs w:val="18"/>
                          <w:u w:val="none"/>
                        </w:rPr>
                        <w:fldChar w:fldCharType="end"/>
                      </w:r>
                    </w:p>
                    <w:p w14:paraId="7F4033CA" w14:textId="77777777" w:rsidR="00EF7012" w:rsidRPr="00EF7012" w:rsidRDefault="00EF7012" w:rsidP="00EF7012">
                      <w:pPr>
                        <w:jc w:val="center"/>
                        <w:rPr>
                          <w:color w:val="4D4D4D"/>
                          <w:sz w:val="18"/>
                          <w:szCs w:val="18"/>
                          <w:lang w:val="nl-NL"/>
                        </w:rPr>
                      </w:pPr>
                      <w:r w:rsidRPr="00EF7012">
                        <w:rPr>
                          <w:color w:val="4D4D4D"/>
                          <w:sz w:val="18"/>
                          <w:szCs w:val="18"/>
                          <w:lang w:val="nl-NL"/>
                        </w:rPr>
                        <w:t xml:space="preserve">233, </w:t>
                      </w:r>
                      <w:proofErr w:type="spellStart"/>
                      <w:r w:rsidRPr="00EF7012">
                        <w:rPr>
                          <w:color w:val="4D4D4D"/>
                          <w:sz w:val="18"/>
                          <w:szCs w:val="18"/>
                          <w:lang w:val="nl-NL"/>
                        </w:rPr>
                        <w:t>bd</w:t>
                      </w:r>
                      <w:proofErr w:type="spellEnd"/>
                      <w:r w:rsidRPr="00EF7012">
                        <w:rPr>
                          <w:color w:val="4D4D4D"/>
                          <w:sz w:val="18"/>
                          <w:szCs w:val="18"/>
                          <w:lang w:val="nl-NL"/>
                        </w:rPr>
                        <w:t xml:space="preserve"> Voltaire</w:t>
                      </w:r>
                    </w:p>
                    <w:p w14:paraId="5D0FD1FA" w14:textId="77777777" w:rsidR="00EF7012" w:rsidRPr="0000657A" w:rsidRDefault="00EF7012" w:rsidP="00EF7012">
                      <w:pPr>
                        <w:pBdr>
                          <w:bottom w:val="single" w:sz="4" w:space="1" w:color="auto"/>
                        </w:pBdr>
                        <w:ind w:left="851" w:right="989"/>
                        <w:jc w:val="center"/>
                        <w:rPr>
                          <w:color w:val="4D4D4D"/>
                          <w:sz w:val="18"/>
                          <w:szCs w:val="18"/>
                        </w:rPr>
                      </w:pPr>
                      <w:r w:rsidRPr="0000657A">
                        <w:rPr>
                          <w:color w:val="4D4D4D"/>
                          <w:sz w:val="18"/>
                          <w:szCs w:val="18"/>
                        </w:rPr>
                        <w:t>75011 PARIS</w:t>
                      </w:r>
                    </w:p>
                    <w:p w14:paraId="42F75EED" w14:textId="77777777" w:rsidR="00EF7012" w:rsidRDefault="00EF7012" w:rsidP="00EF7012">
                      <w:pPr>
                        <w:tabs>
                          <w:tab w:val="center" w:pos="1616"/>
                        </w:tabs>
                        <w:rPr>
                          <w:color w:val="4D4D4D"/>
                          <w:sz w:val="18"/>
                          <w:szCs w:val="18"/>
                        </w:rPr>
                      </w:pPr>
                      <w:r>
                        <w:rPr>
                          <w:color w:val="4D4D4D"/>
                          <w:sz w:val="18"/>
                          <w:szCs w:val="18"/>
                        </w:rPr>
                        <w:tab/>
                      </w:r>
                      <w:r w:rsidRPr="0000657A">
                        <w:rPr>
                          <w:color w:val="4D4D4D"/>
                          <w:sz w:val="18"/>
                          <w:szCs w:val="18"/>
                        </w:rPr>
                        <w:t>Tél. 01 43 48 55 48</w:t>
                      </w:r>
                    </w:p>
                    <w:p w14:paraId="270194A6" w14:textId="77777777" w:rsidR="00EF7012" w:rsidRPr="0000657A" w:rsidRDefault="00EF7012" w:rsidP="00EF7012">
                      <w:pPr>
                        <w:tabs>
                          <w:tab w:val="center" w:pos="1616"/>
                        </w:tabs>
                        <w:ind w:firstLine="709"/>
                        <w:rPr>
                          <w:color w:val="4D4D4D"/>
                          <w:sz w:val="18"/>
                          <w:szCs w:val="18"/>
                        </w:rPr>
                      </w:pPr>
                      <w:r>
                        <w:rPr>
                          <w:color w:val="4D4D4D"/>
                          <w:sz w:val="18"/>
                          <w:szCs w:val="18"/>
                        </w:rPr>
                        <w:tab/>
                      </w:r>
                      <w:r w:rsidRPr="0000657A">
                        <w:rPr>
                          <w:color w:val="4D4D4D"/>
                          <w:sz w:val="18"/>
                          <w:szCs w:val="18"/>
                        </w:rPr>
                        <w:t>Fax 01 43 48 44 35</w:t>
                      </w:r>
                    </w:p>
                  </w:txbxContent>
                </v:textbox>
              </v:shape>
            </w:pict>
          </mc:Fallback>
        </mc:AlternateContent>
      </w:r>
    </w:p>
    <w:p w14:paraId="656ABA8D" w14:textId="6004545A" w:rsidR="0033708C" w:rsidRPr="00A413FE" w:rsidRDefault="001A6B6E" w:rsidP="00A413FE">
      <w:r w:rsidRPr="00A413FE">
        <w:tab/>
      </w:r>
    </w:p>
    <w:p w14:paraId="12BFC0B6" w14:textId="27134445" w:rsidR="001A6B6E" w:rsidRPr="00A413FE" w:rsidRDefault="001A6B6E" w:rsidP="00A413FE"/>
    <w:p w14:paraId="2DCB0F9C" w14:textId="77448238" w:rsidR="001A6B6E" w:rsidRPr="00A413FE" w:rsidRDefault="001A6B6E" w:rsidP="00A413FE"/>
    <w:p w14:paraId="7F471DDC" w14:textId="62D438A3" w:rsidR="00A413FE" w:rsidRPr="00A413FE" w:rsidRDefault="00A413FE" w:rsidP="00A413FE"/>
    <w:p w14:paraId="65F47CF1" w14:textId="1AF63737" w:rsidR="001A6B6E" w:rsidRPr="00A413FE" w:rsidRDefault="00EF7012" w:rsidP="00A413FE">
      <w:r w:rsidRPr="00A413FE">
        <w:rPr>
          <w:noProof/>
        </w:rPr>
        <mc:AlternateContent>
          <mc:Choice Requires="wps">
            <w:drawing>
              <wp:anchor distT="0" distB="0" distL="114300" distR="114300" simplePos="0" relativeHeight="251636224" behindDoc="1" locked="0" layoutInCell="1" allowOverlap="1" wp14:anchorId="223F583A" wp14:editId="378E4283">
                <wp:simplePos x="0" y="0"/>
                <wp:positionH relativeFrom="page">
                  <wp:posOffset>5582920</wp:posOffset>
                </wp:positionH>
                <wp:positionV relativeFrom="page">
                  <wp:posOffset>2557780</wp:posOffset>
                </wp:positionV>
                <wp:extent cx="900430" cy="167005"/>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B3AA7" w14:textId="5705B96F" w:rsidR="001A6B6E" w:rsidRDefault="001A6B6E" w:rsidP="001A6B6E">
                            <w:pPr>
                              <w:pStyle w:val="Corpsdetexte"/>
                              <w:spacing w:before="16"/>
                              <w:ind w:left="20"/>
                            </w:pPr>
                            <w:r>
                              <w:t>Le 28 juin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23F583A" id="Zone de texte 12" o:spid="_x0000_s1027" type="#_x0000_t202" style="position:absolute;margin-left:439.6pt;margin-top:201.4pt;width:70.9pt;height:13.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" filled="f" stroked="f">
                <v:textbox inset="0,0,0,0">
                  <w:txbxContent>
                    <w:p w14:paraId="710B3AA7" w14:textId="5705B96F" w:rsidR="001A6B6E" w:rsidRDefault="001A6B6E" w:rsidP="001A6B6E">
                      <w:pPr>
                        <w:pStyle w:val="Corpsdetexte"/>
                        <w:spacing w:before="16"/>
                        <w:ind w:left="20"/>
                      </w:pPr>
                      <w:r>
                        <w:t>Le 28 juin 2022</w:t>
                      </w:r>
                    </w:p>
                  </w:txbxContent>
                </v:textbox>
                <w10:wrap anchorx="page" anchory="page"/>
              </v:shape>
            </w:pict>
          </mc:Fallback>
        </mc:AlternateContent>
      </w:r>
    </w:p>
    <w:p w14:paraId="55ED8D00" w14:textId="16D497DB" w:rsidR="001A6B6E" w:rsidRDefault="001A6B6E" w:rsidP="00A413FE"/>
    <w:p w14:paraId="6CA86CA4" w14:textId="43B99897" w:rsidR="00694277" w:rsidRPr="00A413FE" w:rsidRDefault="00694277" w:rsidP="00A413FE"/>
    <w:p w14:paraId="3C064F8D" w14:textId="77777777" w:rsidR="00A413FE" w:rsidRDefault="00A413FE" w:rsidP="00A413FE"/>
    <w:p w14:paraId="4A83A663" w14:textId="28756DE9" w:rsidR="0033708C" w:rsidRPr="00A413FE" w:rsidRDefault="00694277" w:rsidP="00A413FE">
      <w:pPr>
        <w:jc w:val="center"/>
        <w:rPr>
          <w:rFonts w:ascii="Arial" w:hAnsi="Arial" w:cs="Arial"/>
          <w:b/>
          <w:bCs/>
          <w:sz w:val="32"/>
          <w:szCs w:val="32"/>
        </w:rPr>
      </w:pPr>
      <w:r w:rsidRPr="00A413FE">
        <w:rPr>
          <w:rFonts w:ascii="Arial" w:hAnsi="Arial" w:cs="Arial"/>
          <w:b/>
          <w:bCs/>
          <w:sz w:val="32"/>
          <w:szCs w:val="32"/>
        </w:rPr>
        <w:t>COMMUNIQUÉ DE PRESSE</w:t>
      </w:r>
    </w:p>
    <w:p w14:paraId="6331861D" w14:textId="013BE469" w:rsidR="001A6B6E" w:rsidRPr="00A413FE" w:rsidRDefault="001A6B6E" w:rsidP="00A413FE"/>
    <w:p w14:paraId="379304C6" w14:textId="429A9BEE" w:rsidR="0033708C" w:rsidRPr="00A413FE" w:rsidRDefault="0033708C" w:rsidP="00A413FE"/>
    <w:p w14:paraId="5BD940FA" w14:textId="4D7208B0" w:rsidR="009F00B6" w:rsidRPr="00A413FE" w:rsidRDefault="008A2C6B" w:rsidP="00A413FE">
      <w:pPr>
        <w:jc w:val="center"/>
        <w:rPr>
          <w:rFonts w:ascii="Arial" w:hAnsi="Arial" w:cs="Arial"/>
          <w:b/>
          <w:bCs/>
          <w:sz w:val="32"/>
          <w:szCs w:val="32"/>
        </w:rPr>
      </w:pPr>
      <w:r>
        <w:rPr>
          <w:rFonts w:ascii="Arial" w:hAnsi="Arial" w:cs="Arial"/>
          <w:b/>
          <w:bCs/>
          <w:sz w:val="32"/>
          <w:szCs w:val="32"/>
        </w:rPr>
        <w:t>Refus de</w:t>
      </w:r>
      <w:r w:rsidR="001A6B6E" w:rsidRPr="00A413FE">
        <w:rPr>
          <w:rFonts w:ascii="Arial" w:hAnsi="Arial" w:cs="Arial"/>
          <w:b/>
          <w:bCs/>
          <w:sz w:val="32"/>
          <w:szCs w:val="32"/>
        </w:rPr>
        <w:t xml:space="preserve"> remboursement de</w:t>
      </w:r>
      <w:r>
        <w:rPr>
          <w:rFonts w:ascii="Arial" w:hAnsi="Arial" w:cs="Arial"/>
          <w:b/>
          <w:bCs/>
          <w:sz w:val="32"/>
          <w:szCs w:val="32"/>
        </w:rPr>
        <w:t>s</w:t>
      </w:r>
      <w:r w:rsidR="001A6B6E" w:rsidRPr="00A413FE">
        <w:rPr>
          <w:rFonts w:ascii="Arial" w:hAnsi="Arial" w:cs="Arial"/>
          <w:b/>
          <w:bCs/>
          <w:sz w:val="32"/>
          <w:szCs w:val="32"/>
        </w:rPr>
        <w:t xml:space="preserve"> fraude</w:t>
      </w:r>
      <w:r>
        <w:rPr>
          <w:rFonts w:ascii="Arial" w:hAnsi="Arial" w:cs="Arial"/>
          <w:b/>
          <w:bCs/>
          <w:sz w:val="32"/>
          <w:szCs w:val="32"/>
        </w:rPr>
        <w:t>s</w:t>
      </w:r>
      <w:r w:rsidR="001A6B6E" w:rsidRPr="00A413FE">
        <w:rPr>
          <w:rFonts w:ascii="Arial" w:hAnsi="Arial" w:cs="Arial"/>
          <w:b/>
          <w:bCs/>
          <w:sz w:val="32"/>
          <w:szCs w:val="32"/>
        </w:rPr>
        <w:t xml:space="preserve"> bancaire</w:t>
      </w:r>
      <w:r>
        <w:rPr>
          <w:rFonts w:ascii="Arial" w:hAnsi="Arial" w:cs="Arial"/>
          <w:b/>
          <w:bCs/>
          <w:sz w:val="32"/>
          <w:szCs w:val="32"/>
        </w:rPr>
        <w:t>s</w:t>
      </w:r>
      <w:r w:rsidR="00694277" w:rsidRPr="00A413FE">
        <w:rPr>
          <w:rFonts w:ascii="Arial" w:hAnsi="Arial" w:cs="Arial"/>
          <w:b/>
          <w:bCs/>
          <w:sz w:val="32"/>
          <w:szCs w:val="32"/>
        </w:rPr>
        <w:t>,</w:t>
      </w:r>
    </w:p>
    <w:p w14:paraId="044F7BD5" w14:textId="14ABF600" w:rsidR="00EF7012" w:rsidRDefault="00EF7012" w:rsidP="00EF7012">
      <w:pPr>
        <w:jc w:val="center"/>
        <w:rPr>
          <w:rFonts w:ascii="Arial" w:hAnsi="Arial" w:cs="Arial"/>
          <w:b/>
          <w:bCs/>
          <w:sz w:val="32"/>
          <w:szCs w:val="32"/>
        </w:rPr>
      </w:pPr>
      <w:r w:rsidRPr="00EF7012">
        <w:rPr>
          <w:rFonts w:ascii="Arial" w:hAnsi="Arial" w:cs="Arial"/>
          <w:b/>
          <w:bCs/>
          <w:sz w:val="32"/>
          <w:szCs w:val="32"/>
        </w:rPr>
        <w:t>L’UFC-Que Choisir dépose plainte contre 12 banques</w:t>
      </w:r>
    </w:p>
    <w:p w14:paraId="24091B5E" w14:textId="77777777" w:rsidR="00EF7012" w:rsidRDefault="00EF7012" w:rsidP="00EF7012">
      <w:pPr>
        <w:jc w:val="center"/>
        <w:rPr>
          <w:rFonts w:ascii="Arial" w:hAnsi="Arial" w:cs="Arial"/>
          <w:b/>
          <w:bCs/>
          <w:sz w:val="32"/>
          <w:szCs w:val="32"/>
        </w:rPr>
      </w:pPr>
    </w:p>
    <w:p w14:paraId="09036AF0" w14:textId="77777777" w:rsidR="00067312" w:rsidRPr="00067312" w:rsidRDefault="00067312" w:rsidP="00067312">
      <w:pPr>
        <w:jc w:val="center"/>
        <w:rPr>
          <w:rFonts w:ascii="Arial" w:hAnsi="Arial" w:cs="Arial"/>
          <w:b/>
          <w:bCs/>
          <w:sz w:val="32"/>
          <w:szCs w:val="32"/>
        </w:rPr>
      </w:pPr>
    </w:p>
    <w:p w14:paraId="28EA7EDC" w14:textId="77777777" w:rsidR="00EF7012" w:rsidRPr="00EF7012" w:rsidRDefault="00EF7012" w:rsidP="00EF7012">
      <w:pPr>
        <w:jc w:val="both"/>
        <w:rPr>
          <w:rFonts w:ascii="Arial" w:hAnsi="Arial" w:cs="Arial"/>
          <w:b/>
          <w:bCs/>
        </w:rPr>
      </w:pPr>
      <w:r w:rsidRPr="00EF7012">
        <w:rPr>
          <w:rFonts w:ascii="Arial" w:hAnsi="Arial" w:cs="Arial"/>
          <w:b/>
          <w:bCs/>
        </w:rPr>
        <w:t>Dans la suite de ses alertes sur l’essor de la fraude bancaire</w:t>
      </w:r>
      <w:r w:rsidRPr="00EF7012">
        <w:rPr>
          <w:rStyle w:val="Appelnotedebasdep"/>
          <w:rFonts w:ascii="Arial" w:hAnsi="Arial" w:cs="Arial"/>
          <w:b/>
          <w:bCs/>
        </w:rPr>
        <w:footnoteReference w:id="1"/>
      </w:r>
      <w:r w:rsidRPr="00EF7012">
        <w:rPr>
          <w:rFonts w:ascii="Arial" w:hAnsi="Arial" w:cs="Arial"/>
          <w:b/>
          <w:bCs/>
        </w:rPr>
        <w:t xml:space="preserve">, et face à la forte recrudescence des litiges pour refus injustifiés de remboursement adressés à ses associations locales, l’UFC-Que Choisir, qui a analysé pas moins de 4 300 signalements, dépose plainte contre 12 établissements pour pratiques commerciales trompeuses : La Banque Postale, Crédit Agricole, Banque populaire, BNP Paribas, Société Générale, CIC, LCL, Boursorama, ING, Nickel, Cetelem et </w:t>
      </w:r>
      <w:proofErr w:type="spellStart"/>
      <w:r w:rsidRPr="00EF7012">
        <w:rPr>
          <w:rFonts w:ascii="Arial" w:hAnsi="Arial" w:cs="Arial"/>
          <w:b/>
          <w:bCs/>
        </w:rPr>
        <w:t>Floa</w:t>
      </w:r>
      <w:proofErr w:type="spellEnd"/>
      <w:r w:rsidRPr="00EF7012">
        <w:rPr>
          <w:rFonts w:ascii="Arial" w:hAnsi="Arial" w:cs="Arial"/>
          <w:b/>
          <w:bCs/>
        </w:rPr>
        <w:t xml:space="preserve"> Banque. L’Autorité de contrôle (ACPR) ayant vainement appelé, l’an dernier, les banques à améliorer leurs pratiques de remboursement, l’association saisit de nouveau l’ACPR et Bercy pour intensifier les contrôles et instaurer un cadre garantissant l’effectivité du droit au remboursement des victimes de fraudes.</w:t>
      </w:r>
    </w:p>
    <w:p w14:paraId="1E968F39" w14:textId="77777777" w:rsidR="00726FA2" w:rsidRDefault="00726FA2" w:rsidP="00067312">
      <w:pPr>
        <w:jc w:val="both"/>
        <w:rPr>
          <w:b/>
          <w:bCs/>
        </w:rPr>
      </w:pPr>
    </w:p>
    <w:p w14:paraId="6425D328" w14:textId="77777777" w:rsidR="00726FA2" w:rsidRDefault="00726FA2" w:rsidP="00A413FE">
      <w:pPr>
        <w:rPr>
          <w:rFonts w:ascii="Arial" w:hAnsi="Arial" w:cs="Arial"/>
          <w:sz w:val="24"/>
          <w:szCs w:val="24"/>
        </w:rPr>
      </w:pPr>
    </w:p>
    <w:p w14:paraId="1C7F75CB" w14:textId="77777777" w:rsidR="00EF7012" w:rsidRPr="00EF7012" w:rsidRDefault="00EF7012" w:rsidP="00EF7012">
      <w:pPr>
        <w:jc w:val="both"/>
        <w:rPr>
          <w:rFonts w:ascii="Arial" w:hAnsi="Arial" w:cs="Arial"/>
          <w:b/>
          <w:bCs/>
        </w:rPr>
      </w:pPr>
      <w:r w:rsidRPr="00EF7012">
        <w:rPr>
          <w:rFonts w:ascii="Arial" w:hAnsi="Arial" w:cs="Arial"/>
          <w:b/>
          <w:bCs/>
        </w:rPr>
        <w:t>Fraude bancaire : 4 300 signalements de refus de remboursement passés au crible</w:t>
      </w:r>
    </w:p>
    <w:p w14:paraId="60D6A74D" w14:textId="77777777" w:rsidR="00EF7012" w:rsidRPr="00EF7012" w:rsidRDefault="00EF7012" w:rsidP="00EF7012">
      <w:pPr>
        <w:jc w:val="both"/>
        <w:rPr>
          <w:rFonts w:ascii="Arial" w:hAnsi="Arial" w:cs="Arial"/>
          <w:b/>
          <w:bCs/>
        </w:rPr>
      </w:pPr>
    </w:p>
    <w:p w14:paraId="25DD2029" w14:textId="77777777" w:rsidR="00EF7012" w:rsidRPr="00EF7012" w:rsidRDefault="00EF7012" w:rsidP="00EF7012">
      <w:pPr>
        <w:jc w:val="both"/>
        <w:rPr>
          <w:rFonts w:ascii="Arial" w:hAnsi="Arial" w:cs="Arial"/>
        </w:rPr>
      </w:pPr>
      <w:r w:rsidRPr="00EF7012">
        <w:rPr>
          <w:rFonts w:ascii="Arial" w:hAnsi="Arial" w:cs="Arial"/>
        </w:rPr>
        <w:t>Alors que la loi impose aux banques de rétablir immédiatement le compte des victimes, sauf négligence grave, les plaintes de consommateurs pour refus de remboursement affluent auprès des associations locales UFC-Que Choisir. L’association a ainsi analysé près de 4 300 signalements de 2019 à 2022</w:t>
      </w:r>
      <w:r w:rsidRPr="00EF7012">
        <w:rPr>
          <w:rStyle w:val="Appelnotedebasdep"/>
          <w:rFonts w:ascii="Arial" w:hAnsi="Arial" w:cs="Arial"/>
        </w:rPr>
        <w:footnoteReference w:id="2"/>
      </w:r>
      <w:r w:rsidRPr="00EF7012">
        <w:rPr>
          <w:rFonts w:ascii="Arial" w:hAnsi="Arial" w:cs="Arial"/>
        </w:rPr>
        <w:t xml:space="preserve"> et tous posent </w:t>
      </w:r>
      <w:proofErr w:type="gramStart"/>
      <w:r w:rsidRPr="00EF7012">
        <w:rPr>
          <w:rFonts w:ascii="Arial" w:hAnsi="Arial" w:cs="Arial"/>
        </w:rPr>
        <w:t>problème</w:t>
      </w:r>
      <w:proofErr w:type="gramEnd"/>
      <w:r w:rsidRPr="00EF7012">
        <w:rPr>
          <w:rFonts w:ascii="Arial" w:hAnsi="Arial" w:cs="Arial"/>
        </w:rPr>
        <w:t xml:space="preserve">. Si au sommet du triste palmarès des établissements qui ne remboursent pas, on retrouve des banques traditionnelles (La Banque postale 22 %, Crédit agricole 20 %), tous sont concernés. Aucun client n’est potentiellement épargné puisque des  banques en ligne (ING), « néo-banques » (Nickel) ou établissements de crédit (Cetelem) se distinguent également. </w:t>
      </w:r>
    </w:p>
    <w:p w14:paraId="2F278556" w14:textId="77777777" w:rsidR="00EF7012" w:rsidRPr="00EF7012" w:rsidRDefault="00EF7012" w:rsidP="00EF7012">
      <w:pPr>
        <w:jc w:val="both"/>
        <w:rPr>
          <w:rFonts w:ascii="Arial" w:hAnsi="Arial" w:cs="Arial"/>
        </w:rPr>
      </w:pPr>
      <w:r w:rsidRPr="00EF7012">
        <w:rPr>
          <w:rFonts w:ascii="Arial" w:hAnsi="Arial" w:cs="Arial"/>
        </w:rPr>
        <w:t>Près de deux-tiers des signalements (60 %) concernent des fraudes de plus de 4 000 euros et qui peuvent aller jusqu’à plusieurs dizaines de milliers d’euros.</w:t>
      </w:r>
    </w:p>
    <w:p w14:paraId="1A32EFD0" w14:textId="77777777" w:rsidR="00EF7012" w:rsidRPr="00EF7012" w:rsidRDefault="00EF7012" w:rsidP="00EF7012">
      <w:pPr>
        <w:jc w:val="both"/>
        <w:rPr>
          <w:rFonts w:ascii="Arial" w:hAnsi="Arial" w:cs="Arial"/>
        </w:rPr>
      </w:pPr>
    </w:p>
    <w:p w14:paraId="2F26C18D" w14:textId="77777777" w:rsidR="00EF7012" w:rsidRPr="00EF7012" w:rsidRDefault="00EF7012" w:rsidP="00EF7012">
      <w:pPr>
        <w:jc w:val="both"/>
        <w:rPr>
          <w:rFonts w:ascii="Arial" w:hAnsi="Arial" w:cs="Arial"/>
          <w:b/>
          <w:bCs/>
        </w:rPr>
      </w:pPr>
      <w:r w:rsidRPr="00EF7012">
        <w:rPr>
          <w:rFonts w:ascii="Arial" w:hAnsi="Arial" w:cs="Arial"/>
          <w:b/>
          <w:bCs/>
        </w:rPr>
        <w:t>Les pratiques commerciales trompeuses des banques</w:t>
      </w:r>
    </w:p>
    <w:p w14:paraId="7CDC0088" w14:textId="77777777" w:rsidR="00EF7012" w:rsidRPr="00EF7012" w:rsidRDefault="00EF7012" w:rsidP="00EF7012">
      <w:pPr>
        <w:jc w:val="both"/>
        <w:rPr>
          <w:rFonts w:ascii="Arial" w:hAnsi="Arial" w:cs="Arial"/>
          <w:b/>
          <w:bCs/>
        </w:rPr>
      </w:pPr>
    </w:p>
    <w:p w14:paraId="1F0D5818" w14:textId="77777777" w:rsidR="00EF7012" w:rsidRPr="00EF7012" w:rsidRDefault="00EF7012" w:rsidP="00EF7012">
      <w:pPr>
        <w:jc w:val="both"/>
        <w:rPr>
          <w:rFonts w:ascii="Arial" w:hAnsi="Arial" w:cs="Arial"/>
        </w:rPr>
      </w:pPr>
      <w:r w:rsidRPr="00EF7012">
        <w:rPr>
          <w:rFonts w:ascii="Arial" w:hAnsi="Arial" w:cs="Arial"/>
        </w:rPr>
        <w:t>Alors que selon la Fédération bancaire française (FBF), une fraude sur six n’est pas remboursée</w:t>
      </w:r>
      <w:r w:rsidRPr="00EF7012">
        <w:rPr>
          <w:rStyle w:val="Appelnotedebasdep"/>
          <w:rFonts w:ascii="Arial" w:hAnsi="Arial" w:cs="Arial"/>
        </w:rPr>
        <w:footnoteReference w:id="3"/>
      </w:r>
      <w:r w:rsidRPr="00EF7012">
        <w:rPr>
          <w:rFonts w:ascii="Arial" w:hAnsi="Arial" w:cs="Arial"/>
        </w:rPr>
        <w:t xml:space="preserve">, l’UFC Que Choisir, à travers la multitude de refus injustifiés, met à jour une véritable stratégie des </w:t>
      </w:r>
      <w:r w:rsidRPr="00EF7012">
        <w:rPr>
          <w:rFonts w:ascii="Arial" w:hAnsi="Arial" w:cs="Arial"/>
        </w:rPr>
        <w:lastRenderedPageBreak/>
        <w:t>banques pour s’affranchir de leur obligation de démontrer la négligence personnelle de leurs clients pour refuser de les rembourser.</w:t>
      </w:r>
    </w:p>
    <w:p w14:paraId="5DF95FC4" w14:textId="77777777" w:rsidR="00EF7012" w:rsidRPr="00EF7012" w:rsidRDefault="00EF7012" w:rsidP="00EF7012">
      <w:pPr>
        <w:jc w:val="both"/>
        <w:rPr>
          <w:rFonts w:ascii="Arial" w:hAnsi="Arial" w:cs="Arial"/>
        </w:rPr>
      </w:pPr>
      <w:r w:rsidRPr="00EF7012">
        <w:rPr>
          <w:rFonts w:ascii="Arial" w:hAnsi="Arial" w:cs="Arial"/>
        </w:rPr>
        <w:t>La méthode la plus répandue consiste à accuser les victimes de « négligence ». Un alibi qui  n’est pas recevable et d’autant moins quand l’opération a été validée avec le seul SMS. Arrive en deuxième position le refus systématique de rembourser en cas d’authentification renforcée, sans que la banque n’apporte la preuve que son client est à l’origine du paiement. Au pied du podium, d’autres banques tentent de se justifier en indiquant que leur assurance refuse toute prise en charge.</w:t>
      </w:r>
    </w:p>
    <w:p w14:paraId="42DBD43E" w14:textId="77777777" w:rsidR="00EF7012" w:rsidRPr="00EF7012" w:rsidRDefault="00EF7012" w:rsidP="00EF7012">
      <w:pPr>
        <w:jc w:val="both"/>
        <w:rPr>
          <w:rFonts w:ascii="Arial" w:hAnsi="Arial" w:cs="Arial"/>
        </w:rPr>
      </w:pPr>
      <w:r w:rsidRPr="00EF7012">
        <w:rPr>
          <w:rFonts w:ascii="Arial" w:hAnsi="Arial" w:cs="Arial"/>
        </w:rPr>
        <w:t>C’est en laissant croire, de la sorte, aux consommateurs qu’ils n’ont aucun droit au remboursement, que les banques se rendent, selon nous, coupables de pratiques commerciales trompeuses. Elles les dupent sur l’étendue de leurs droits.</w:t>
      </w:r>
    </w:p>
    <w:p w14:paraId="066A39E6" w14:textId="77777777" w:rsidR="00EF7012" w:rsidRPr="00EF7012" w:rsidRDefault="00EF7012" w:rsidP="00EF7012">
      <w:pPr>
        <w:jc w:val="both"/>
        <w:rPr>
          <w:rFonts w:ascii="Arial" w:hAnsi="Arial" w:cs="Arial"/>
        </w:rPr>
      </w:pPr>
    </w:p>
    <w:p w14:paraId="343BEB32" w14:textId="77777777" w:rsidR="00EF7012" w:rsidRPr="00EF7012" w:rsidRDefault="00EF7012" w:rsidP="00EF7012">
      <w:pPr>
        <w:jc w:val="both"/>
        <w:rPr>
          <w:rFonts w:ascii="Arial" w:hAnsi="Arial" w:cs="Arial"/>
          <w:lang w:eastAsia="fr-FR"/>
        </w:rPr>
      </w:pPr>
      <w:r w:rsidRPr="00EF7012">
        <w:rPr>
          <w:rFonts w:ascii="Arial" w:hAnsi="Arial" w:cs="Arial"/>
          <w:lang w:eastAsia="fr-FR"/>
        </w:rPr>
        <w:t xml:space="preserve">Pour Alain Bazot, Président de l’UFC-Que Choisir : « Face à la multiplication de fraudes de plus en plus sophistiquées, on ne saurait admettre que les banques s’affranchissent allègrement de leur obligation de démontrer expressément la négligence de leurs clients pour refuser de les rembourser ». </w:t>
      </w:r>
    </w:p>
    <w:p w14:paraId="79BAB14E" w14:textId="77777777" w:rsidR="00EF7012" w:rsidRPr="00EF7012" w:rsidRDefault="00EF7012" w:rsidP="00EF7012">
      <w:pPr>
        <w:jc w:val="both"/>
        <w:rPr>
          <w:rFonts w:ascii="Arial" w:hAnsi="Arial" w:cs="Arial"/>
          <w:b/>
          <w:bCs/>
        </w:rPr>
      </w:pPr>
      <w:r w:rsidRPr="00EF7012">
        <w:rPr>
          <w:rFonts w:ascii="Arial" w:hAnsi="Arial" w:cs="Arial"/>
          <w:b/>
          <w:bCs/>
        </w:rPr>
        <w:t xml:space="preserve">Fraude bancaire : une ponction de pouvoir d’achat de plus de 1,2 milliard d’euros par an </w:t>
      </w:r>
    </w:p>
    <w:p w14:paraId="0A30FCDE" w14:textId="77777777" w:rsidR="00EF7012" w:rsidRPr="00EF7012" w:rsidRDefault="00EF7012" w:rsidP="00EF7012">
      <w:pPr>
        <w:jc w:val="both"/>
        <w:rPr>
          <w:rFonts w:ascii="Arial" w:hAnsi="Arial" w:cs="Arial"/>
        </w:rPr>
      </w:pPr>
      <w:r w:rsidRPr="00EF7012">
        <w:rPr>
          <w:rFonts w:ascii="Arial" w:hAnsi="Arial" w:cs="Arial"/>
        </w:rPr>
        <w:t>L’alerte des associations locales de l’UFC-Que Choisir est corroborée au niveau national. Selon le dernier rapport de la Banque de France, la fraude atteint un montant de plus d’1,2 milliard d’euros</w:t>
      </w:r>
      <w:r w:rsidRPr="00EF7012">
        <w:rPr>
          <w:rStyle w:val="Appelnotedebasdep"/>
          <w:rFonts w:ascii="Arial" w:hAnsi="Arial" w:cs="Arial"/>
        </w:rPr>
        <w:footnoteReference w:id="4"/>
      </w:r>
      <w:r w:rsidRPr="00EF7012">
        <w:rPr>
          <w:rFonts w:ascii="Arial" w:hAnsi="Arial" w:cs="Arial"/>
        </w:rPr>
        <w:t xml:space="preserve"> et touche un nombre croissant de victimes. Pas moins d’1,3 million de ménages ont ainsi été escroqués en 2020</w:t>
      </w:r>
      <w:r w:rsidRPr="00EF7012">
        <w:rPr>
          <w:rStyle w:val="Appelnotedebasdep"/>
          <w:rFonts w:ascii="Arial" w:hAnsi="Arial" w:cs="Arial"/>
        </w:rPr>
        <w:footnoteReference w:id="5"/>
      </w:r>
      <w:r w:rsidRPr="00EF7012">
        <w:rPr>
          <w:rFonts w:ascii="Arial" w:hAnsi="Arial" w:cs="Arial"/>
        </w:rPr>
        <w:t>, soit une hausse de 161 % depuis 2010 !</w:t>
      </w:r>
    </w:p>
    <w:p w14:paraId="14618A1F" w14:textId="77777777" w:rsidR="00EF7012" w:rsidRPr="00EF7012" w:rsidRDefault="00EF7012" w:rsidP="00EF7012">
      <w:pPr>
        <w:jc w:val="both"/>
        <w:rPr>
          <w:rFonts w:ascii="Arial" w:hAnsi="Arial" w:cs="Arial"/>
        </w:rPr>
      </w:pPr>
    </w:p>
    <w:p w14:paraId="7CFC86F3" w14:textId="77777777" w:rsidR="00EF7012" w:rsidRPr="00EF7012" w:rsidRDefault="00EF7012" w:rsidP="00EF7012">
      <w:pPr>
        <w:jc w:val="both"/>
        <w:rPr>
          <w:rFonts w:ascii="Arial" w:hAnsi="Arial" w:cs="Arial"/>
        </w:rPr>
      </w:pPr>
      <w:r w:rsidRPr="00EF7012">
        <w:rPr>
          <w:rFonts w:ascii="Arial" w:hAnsi="Arial" w:cs="Arial"/>
        </w:rPr>
        <w:t>Cette ponction sur le pouvoir d’achat des consommateurs est d’autant plus préoccupante que les fraudeurs ont plusieurs longueurs d’avances sur les mesures censées empêcher les fraudes. En effet, ils vont désormais jusqu’à usurper le numéro de téléphone et l’identité des conseillers bancaires pour siphonner les comptes des consommateurs</w:t>
      </w:r>
      <w:r w:rsidRPr="00EF7012">
        <w:rPr>
          <w:rStyle w:val="Appelnotedebasdep"/>
          <w:rFonts w:ascii="Arial" w:hAnsi="Arial" w:cs="Arial"/>
        </w:rPr>
        <w:footnoteReference w:id="6"/>
      </w:r>
      <w:r w:rsidRPr="00EF7012">
        <w:rPr>
          <w:rFonts w:ascii="Arial" w:hAnsi="Arial" w:cs="Arial"/>
        </w:rPr>
        <w:t xml:space="preserve">. </w:t>
      </w:r>
    </w:p>
    <w:p w14:paraId="7ED20140" w14:textId="77777777" w:rsidR="00EF7012" w:rsidRPr="00EF7012" w:rsidRDefault="00EF7012" w:rsidP="00EF7012">
      <w:pPr>
        <w:jc w:val="both"/>
        <w:rPr>
          <w:rFonts w:ascii="Arial" w:hAnsi="Arial" w:cs="Arial"/>
          <w:b/>
          <w:bCs/>
        </w:rPr>
      </w:pPr>
    </w:p>
    <w:p w14:paraId="5986E085" w14:textId="77777777" w:rsidR="00EF7012" w:rsidRPr="00EF7012" w:rsidRDefault="00EF7012" w:rsidP="00EF7012">
      <w:pPr>
        <w:jc w:val="both"/>
        <w:rPr>
          <w:rFonts w:ascii="Arial" w:hAnsi="Arial" w:cs="Arial"/>
          <w:b/>
          <w:bCs/>
        </w:rPr>
      </w:pPr>
      <w:r w:rsidRPr="00EF7012">
        <w:rPr>
          <w:rFonts w:ascii="Arial" w:hAnsi="Arial" w:cs="Arial"/>
          <w:b/>
          <w:bCs/>
        </w:rPr>
        <w:t>Déterminée à rendre pleinement effectif le droit au remboursement des victimes de fraudes bancaires, l’UFC-Que Choisir, parallèlement à ses plaintes, saisit de nouveau l’ACPR et Bercy pour d’une part intensifier les contrôles et d’autre part renforcer le cadre normatif, notamment en instaurant des sanctions réellement dissuasives face aux manœuvres des banques.</w:t>
      </w:r>
    </w:p>
    <w:p w14:paraId="26603A4A" w14:textId="77777777" w:rsidR="00EF7012" w:rsidRPr="00EF7012" w:rsidRDefault="00EF7012" w:rsidP="00EF7012">
      <w:pPr>
        <w:jc w:val="both"/>
        <w:rPr>
          <w:rFonts w:ascii="Arial" w:hAnsi="Arial" w:cs="Arial"/>
          <w:b/>
          <w:bCs/>
        </w:rPr>
      </w:pPr>
    </w:p>
    <w:p w14:paraId="7EC9ED4F" w14:textId="77777777" w:rsidR="00EF7012" w:rsidRPr="004364BE" w:rsidRDefault="00EF7012" w:rsidP="00EF7012">
      <w:pPr>
        <w:jc w:val="both"/>
        <w:rPr>
          <w:lang w:eastAsia="fr-FR"/>
        </w:rPr>
      </w:pPr>
      <w:bookmarkStart w:id="0" w:name="_GoBack"/>
      <w:bookmarkEnd w:id="0"/>
    </w:p>
    <w:p w14:paraId="57C31BC7" w14:textId="3540D360" w:rsidR="00BE25BA" w:rsidRPr="00BE25BA" w:rsidRDefault="00BE25BA" w:rsidP="00EF7012">
      <w:pPr>
        <w:jc w:val="both"/>
        <w:rPr>
          <w:color w:val="050505"/>
          <w:sz w:val="18"/>
          <w:szCs w:val="18"/>
        </w:rPr>
      </w:pPr>
    </w:p>
    <w:sectPr w:rsidR="00BE25BA" w:rsidRPr="00BE25BA" w:rsidSect="00694277">
      <w:pgSz w:w="11910" w:h="16840"/>
      <w:pgMar w:top="2520" w:right="1020" w:bottom="709" w:left="102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B07B6" w14:textId="77777777" w:rsidR="005D270C" w:rsidRDefault="005D270C">
      <w:r>
        <w:separator/>
      </w:r>
    </w:p>
  </w:endnote>
  <w:endnote w:type="continuationSeparator" w:id="0">
    <w:p w14:paraId="2DEF30A5" w14:textId="77777777" w:rsidR="005D270C" w:rsidRDefault="005D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9ED3D" w14:textId="77777777" w:rsidR="005D270C" w:rsidRDefault="005D270C">
      <w:r>
        <w:separator/>
      </w:r>
    </w:p>
  </w:footnote>
  <w:footnote w:type="continuationSeparator" w:id="0">
    <w:p w14:paraId="6F4419EF" w14:textId="77777777" w:rsidR="005D270C" w:rsidRDefault="005D270C">
      <w:r>
        <w:continuationSeparator/>
      </w:r>
    </w:p>
  </w:footnote>
  <w:footnote w:id="1">
    <w:p w14:paraId="47117764" w14:textId="77777777" w:rsidR="00EF7012" w:rsidRDefault="00EF7012" w:rsidP="00EF7012">
      <w:pPr>
        <w:pStyle w:val="Notedebasdepage"/>
        <w:spacing w:before="0" w:after="0"/>
      </w:pPr>
      <w:r>
        <w:rPr>
          <w:rStyle w:val="Appelnotedebasdep"/>
        </w:rPr>
        <w:footnoteRef/>
      </w:r>
      <w:r>
        <w:t xml:space="preserve"> Voir, par exemple, les communiqués de presse de</w:t>
      </w:r>
      <w:hyperlink r:id="rId1" w:history="1">
        <w:r w:rsidRPr="0038111C">
          <w:rPr>
            <w:rStyle w:val="Lienhypertexte"/>
          </w:rPr>
          <w:t xml:space="preserve"> 2019</w:t>
        </w:r>
      </w:hyperlink>
      <w:r>
        <w:t xml:space="preserve"> et </w:t>
      </w:r>
      <w:hyperlink r:id="rId2" w:history="1">
        <w:r w:rsidRPr="0038111C">
          <w:rPr>
            <w:rStyle w:val="Lienhypertexte"/>
          </w:rPr>
          <w:t>2020</w:t>
        </w:r>
      </w:hyperlink>
      <w:r>
        <w:t xml:space="preserve"> de l’UFC-Que Choisir.</w:t>
      </w:r>
    </w:p>
  </w:footnote>
  <w:footnote w:id="2">
    <w:p w14:paraId="23A1E87C" w14:textId="77777777" w:rsidR="00EF7012" w:rsidRDefault="00EF7012" w:rsidP="00EF7012">
      <w:pPr>
        <w:pStyle w:val="Notedebasdepage"/>
        <w:spacing w:before="0" w:after="0"/>
        <w:jc w:val="both"/>
      </w:pPr>
      <w:r>
        <w:rPr>
          <w:rStyle w:val="Appelnotedebasdep"/>
        </w:rPr>
        <w:footnoteRef/>
      </w:r>
      <w:r>
        <w:t xml:space="preserve"> Ces signalements concernent des consommateurs clients de banques ayant</w:t>
      </w:r>
      <w:r w:rsidRPr="001B049F">
        <w:t xml:space="preserve"> plus de 92 % d</w:t>
      </w:r>
      <w:r>
        <w:t>es parts de marché des comptes courants.</w:t>
      </w:r>
    </w:p>
  </w:footnote>
  <w:footnote w:id="3">
    <w:p w14:paraId="1560AF65" w14:textId="77777777" w:rsidR="00EF7012" w:rsidRDefault="00EF7012" w:rsidP="00EF7012">
      <w:pPr>
        <w:pStyle w:val="Notedebasdepage"/>
        <w:spacing w:before="0"/>
      </w:pPr>
      <w:r>
        <w:rPr>
          <w:rStyle w:val="Appelnotedebasdep"/>
        </w:rPr>
        <w:footnoteRef/>
      </w:r>
      <w:r>
        <w:t xml:space="preserve"> Réaction de la FBF au rapport de l’Observatoire de la sécurité des moyens de paiement, juillet 2021. Cette proportion porte sur les fraudes à la carte bancaire qui représentent 90 % des fraudes. Faute de transparence sur les autres taux de remboursement, nous reprenons cette estimation pour l’ensemble des moyens de paiement.</w:t>
      </w:r>
    </w:p>
  </w:footnote>
  <w:footnote w:id="4">
    <w:p w14:paraId="39358112" w14:textId="77777777" w:rsidR="00EF7012" w:rsidRDefault="00EF7012" w:rsidP="00EF7012">
      <w:pPr>
        <w:pStyle w:val="Notedebasdepage"/>
        <w:spacing w:before="0" w:after="0"/>
        <w:jc w:val="both"/>
      </w:pPr>
      <w:r>
        <w:rPr>
          <w:rStyle w:val="Appelnotedebasdep"/>
        </w:rPr>
        <w:footnoteRef/>
      </w:r>
      <w:r>
        <w:t xml:space="preserve"> Rapport annuel de l’Observatoire de la sécurité des moyens de paiement, édition 2021, Banque de France.</w:t>
      </w:r>
    </w:p>
  </w:footnote>
  <w:footnote w:id="5">
    <w:p w14:paraId="54A55F09" w14:textId="77777777" w:rsidR="00EF7012" w:rsidRDefault="00EF7012" w:rsidP="00EF7012">
      <w:pPr>
        <w:pStyle w:val="Notedebasdepage"/>
        <w:spacing w:before="0" w:after="0"/>
        <w:jc w:val="both"/>
      </w:pPr>
      <w:r>
        <w:rPr>
          <w:rStyle w:val="Appelnotedebasdep"/>
        </w:rPr>
        <w:footnoteRef/>
      </w:r>
      <w:r>
        <w:t xml:space="preserve"> Insécurité et victimisation : les enseignements de l’enquête « Cadre de vie et sécurité », édition 2021, Service statistique ministériel de la sécurité intérieure.</w:t>
      </w:r>
    </w:p>
  </w:footnote>
  <w:footnote w:id="6">
    <w:p w14:paraId="673BD1C1" w14:textId="77777777" w:rsidR="00EF7012" w:rsidRDefault="00EF7012" w:rsidP="00EF7012">
      <w:pPr>
        <w:pStyle w:val="Notedebasdepage"/>
        <w:spacing w:before="0" w:after="0"/>
        <w:jc w:val="both"/>
      </w:pPr>
      <w:r>
        <w:rPr>
          <w:rStyle w:val="Appelnotedebasdep"/>
        </w:rPr>
        <w:footnoteRef/>
      </w:r>
      <w:r>
        <w:t xml:space="preserve"> Voir le rapport d’activité 2021 de la Médiatrice de la FBF.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0AE8"/>
    <w:multiLevelType w:val="hybridMultilevel"/>
    <w:tmpl w:val="18FA96BA"/>
    <w:lvl w:ilvl="0" w:tplc="6A80405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800283"/>
    <w:multiLevelType w:val="hybridMultilevel"/>
    <w:tmpl w:val="49FCCA1C"/>
    <w:lvl w:ilvl="0" w:tplc="219EF3B6">
      <w:numFmt w:val="bullet"/>
      <w:lvlText w:val="-"/>
      <w:lvlJc w:val="left"/>
      <w:pPr>
        <w:ind w:left="432" w:hanging="360"/>
      </w:pPr>
      <w:rPr>
        <w:rFonts w:ascii="Arial" w:eastAsia="Microsoft Sans Serif" w:hAnsi="Arial" w:cs="Aria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2" w15:restartNumberingAfterBreak="0">
    <w:nsid w:val="43E14129"/>
    <w:multiLevelType w:val="hybridMultilevel"/>
    <w:tmpl w:val="95AA0B4C"/>
    <w:lvl w:ilvl="0" w:tplc="4670C734">
      <w:numFmt w:val="bullet"/>
      <w:lvlText w:val="-"/>
      <w:lvlJc w:val="left"/>
      <w:pPr>
        <w:ind w:left="792" w:hanging="360"/>
      </w:pPr>
      <w:rPr>
        <w:rFonts w:ascii="Arial" w:eastAsia="Arial" w:hAnsi="Arial" w:cs="Aria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 w15:restartNumberingAfterBreak="0">
    <w:nsid w:val="51EA3730"/>
    <w:multiLevelType w:val="hybridMultilevel"/>
    <w:tmpl w:val="EBA6EC68"/>
    <w:lvl w:ilvl="0" w:tplc="CF2E9C50">
      <w:numFmt w:val="bullet"/>
      <w:lvlText w:val="-"/>
      <w:lvlJc w:val="left"/>
      <w:pPr>
        <w:ind w:left="833" w:hanging="360"/>
      </w:pPr>
      <w:rPr>
        <w:rFonts w:ascii="Microsoft Sans Serif" w:eastAsia="Microsoft Sans Serif" w:hAnsi="Microsoft Sans Serif" w:cs="Microsoft Sans Serif" w:hint="default"/>
        <w:w w:val="99"/>
        <w:sz w:val="20"/>
        <w:szCs w:val="20"/>
        <w:lang w:val="fr-FR" w:eastAsia="en-US" w:bidi="ar-SA"/>
      </w:rPr>
    </w:lvl>
    <w:lvl w:ilvl="1" w:tplc="25488340">
      <w:numFmt w:val="bullet"/>
      <w:lvlText w:val="•"/>
      <w:lvlJc w:val="left"/>
      <w:pPr>
        <w:ind w:left="1742" w:hanging="360"/>
      </w:pPr>
      <w:rPr>
        <w:rFonts w:hint="default"/>
        <w:lang w:val="fr-FR" w:eastAsia="en-US" w:bidi="ar-SA"/>
      </w:rPr>
    </w:lvl>
    <w:lvl w:ilvl="2" w:tplc="B2FC2070">
      <w:numFmt w:val="bullet"/>
      <w:lvlText w:val="•"/>
      <w:lvlJc w:val="left"/>
      <w:pPr>
        <w:ind w:left="2645" w:hanging="360"/>
      </w:pPr>
      <w:rPr>
        <w:rFonts w:hint="default"/>
        <w:lang w:val="fr-FR" w:eastAsia="en-US" w:bidi="ar-SA"/>
      </w:rPr>
    </w:lvl>
    <w:lvl w:ilvl="3" w:tplc="EE6641C6">
      <w:numFmt w:val="bullet"/>
      <w:lvlText w:val="•"/>
      <w:lvlJc w:val="left"/>
      <w:pPr>
        <w:ind w:left="3547" w:hanging="360"/>
      </w:pPr>
      <w:rPr>
        <w:rFonts w:hint="default"/>
        <w:lang w:val="fr-FR" w:eastAsia="en-US" w:bidi="ar-SA"/>
      </w:rPr>
    </w:lvl>
    <w:lvl w:ilvl="4" w:tplc="D51AD03A">
      <w:numFmt w:val="bullet"/>
      <w:lvlText w:val="•"/>
      <w:lvlJc w:val="left"/>
      <w:pPr>
        <w:ind w:left="4450" w:hanging="360"/>
      </w:pPr>
      <w:rPr>
        <w:rFonts w:hint="default"/>
        <w:lang w:val="fr-FR" w:eastAsia="en-US" w:bidi="ar-SA"/>
      </w:rPr>
    </w:lvl>
    <w:lvl w:ilvl="5" w:tplc="D2746C38">
      <w:numFmt w:val="bullet"/>
      <w:lvlText w:val="•"/>
      <w:lvlJc w:val="left"/>
      <w:pPr>
        <w:ind w:left="5353" w:hanging="360"/>
      </w:pPr>
      <w:rPr>
        <w:rFonts w:hint="default"/>
        <w:lang w:val="fr-FR" w:eastAsia="en-US" w:bidi="ar-SA"/>
      </w:rPr>
    </w:lvl>
    <w:lvl w:ilvl="6" w:tplc="FB3E0488">
      <w:numFmt w:val="bullet"/>
      <w:lvlText w:val="•"/>
      <w:lvlJc w:val="left"/>
      <w:pPr>
        <w:ind w:left="6255" w:hanging="360"/>
      </w:pPr>
      <w:rPr>
        <w:rFonts w:hint="default"/>
        <w:lang w:val="fr-FR" w:eastAsia="en-US" w:bidi="ar-SA"/>
      </w:rPr>
    </w:lvl>
    <w:lvl w:ilvl="7" w:tplc="33022ED0">
      <w:numFmt w:val="bullet"/>
      <w:lvlText w:val="•"/>
      <w:lvlJc w:val="left"/>
      <w:pPr>
        <w:ind w:left="7158" w:hanging="360"/>
      </w:pPr>
      <w:rPr>
        <w:rFonts w:hint="default"/>
        <w:lang w:val="fr-FR" w:eastAsia="en-US" w:bidi="ar-SA"/>
      </w:rPr>
    </w:lvl>
    <w:lvl w:ilvl="8" w:tplc="6FC65A26">
      <w:numFmt w:val="bullet"/>
      <w:lvlText w:val="•"/>
      <w:lvlJc w:val="left"/>
      <w:pPr>
        <w:ind w:left="8061" w:hanging="360"/>
      </w:pPr>
      <w:rPr>
        <w:rFonts w:hint="default"/>
        <w:lang w:val="fr-FR"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8C"/>
    <w:rsid w:val="000065BB"/>
    <w:rsid w:val="00067312"/>
    <w:rsid w:val="000B570B"/>
    <w:rsid w:val="000C16D0"/>
    <w:rsid w:val="00155658"/>
    <w:rsid w:val="001A1138"/>
    <w:rsid w:val="001A6B6E"/>
    <w:rsid w:val="002940EE"/>
    <w:rsid w:val="002F6A8C"/>
    <w:rsid w:val="0033708C"/>
    <w:rsid w:val="00357812"/>
    <w:rsid w:val="0040155D"/>
    <w:rsid w:val="0043526F"/>
    <w:rsid w:val="00437E4F"/>
    <w:rsid w:val="0050218E"/>
    <w:rsid w:val="00530500"/>
    <w:rsid w:val="00542E1D"/>
    <w:rsid w:val="005A06DF"/>
    <w:rsid w:val="005D270C"/>
    <w:rsid w:val="00694277"/>
    <w:rsid w:val="006D62AF"/>
    <w:rsid w:val="00726FA2"/>
    <w:rsid w:val="008020D8"/>
    <w:rsid w:val="00890446"/>
    <w:rsid w:val="00892A80"/>
    <w:rsid w:val="008A2C6B"/>
    <w:rsid w:val="008E734A"/>
    <w:rsid w:val="00901824"/>
    <w:rsid w:val="009126AF"/>
    <w:rsid w:val="009E47AA"/>
    <w:rsid w:val="009F00B6"/>
    <w:rsid w:val="00A37E72"/>
    <w:rsid w:val="00A413FE"/>
    <w:rsid w:val="00A6184C"/>
    <w:rsid w:val="00AA2127"/>
    <w:rsid w:val="00B04D7F"/>
    <w:rsid w:val="00B14BF6"/>
    <w:rsid w:val="00B63159"/>
    <w:rsid w:val="00B815CA"/>
    <w:rsid w:val="00BE25BA"/>
    <w:rsid w:val="00C14391"/>
    <w:rsid w:val="00C74058"/>
    <w:rsid w:val="00D22BFB"/>
    <w:rsid w:val="00D33DE4"/>
    <w:rsid w:val="00D57A8F"/>
    <w:rsid w:val="00D92F30"/>
    <w:rsid w:val="00E64D36"/>
    <w:rsid w:val="00EA2985"/>
    <w:rsid w:val="00EC49C8"/>
    <w:rsid w:val="00EF7012"/>
    <w:rsid w:val="00F459CB"/>
    <w:rsid w:val="00F833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0611B"/>
  <w15:docId w15:val="{65244CA6-03F0-4CA1-805C-5EC94BA1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lang w:val="fr-FR"/>
    </w:rPr>
  </w:style>
  <w:style w:type="paragraph" w:styleId="Titre1">
    <w:name w:val="heading 1"/>
    <w:basedOn w:val="Normal"/>
    <w:uiPriority w:val="9"/>
    <w:qFormat/>
    <w:pPr>
      <w:ind w:left="1022" w:right="1022"/>
      <w:jc w:val="center"/>
      <w:outlineLvl w:val="0"/>
    </w:pPr>
    <w:rPr>
      <w:rFonts w:ascii="Arial" w:eastAsia="Arial" w:hAnsi="Arial" w:cs="Arial"/>
      <w:b/>
      <w:bCs/>
      <w:sz w:val="24"/>
      <w:szCs w:val="24"/>
    </w:rPr>
  </w:style>
  <w:style w:type="paragraph" w:styleId="Titre2">
    <w:name w:val="heading 2"/>
    <w:basedOn w:val="Normal"/>
    <w:uiPriority w:val="9"/>
    <w:unhideWhenUsed/>
    <w:qFormat/>
    <w:pPr>
      <w:ind w:left="112"/>
      <w:jc w:val="both"/>
      <w:outlineLvl w:val="1"/>
    </w:pPr>
    <w:rPr>
      <w:rFonts w:ascii="Arial" w:eastAsia="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34"/>
    <w:qFormat/>
    <w:pPr>
      <w:ind w:left="833" w:right="113" w:hanging="360"/>
      <w:jc w:val="both"/>
    </w:pPr>
    <w:rPr>
      <w:rFonts w:ascii="Arial" w:eastAsia="Arial" w:hAnsi="Arial" w:cs="Arial"/>
    </w:r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A6B6E"/>
    <w:pPr>
      <w:tabs>
        <w:tab w:val="center" w:pos="4536"/>
        <w:tab w:val="right" w:pos="9072"/>
      </w:tabs>
    </w:pPr>
  </w:style>
  <w:style w:type="character" w:customStyle="1" w:styleId="En-tteCar">
    <w:name w:val="En-tête Car"/>
    <w:basedOn w:val="Policepardfaut"/>
    <w:link w:val="En-tte"/>
    <w:uiPriority w:val="99"/>
    <w:rsid w:val="001A6B6E"/>
    <w:rPr>
      <w:rFonts w:ascii="Microsoft Sans Serif" w:eastAsia="Microsoft Sans Serif" w:hAnsi="Microsoft Sans Serif" w:cs="Microsoft Sans Serif"/>
      <w:lang w:val="fr-FR"/>
    </w:rPr>
  </w:style>
  <w:style w:type="paragraph" w:styleId="Pieddepage">
    <w:name w:val="footer"/>
    <w:basedOn w:val="Normal"/>
    <w:link w:val="PieddepageCar"/>
    <w:uiPriority w:val="99"/>
    <w:unhideWhenUsed/>
    <w:rsid w:val="001A6B6E"/>
    <w:pPr>
      <w:tabs>
        <w:tab w:val="center" w:pos="4536"/>
        <w:tab w:val="right" w:pos="9072"/>
      </w:tabs>
    </w:pPr>
  </w:style>
  <w:style w:type="character" w:customStyle="1" w:styleId="PieddepageCar">
    <w:name w:val="Pied de page Car"/>
    <w:basedOn w:val="Policepardfaut"/>
    <w:link w:val="Pieddepage"/>
    <w:uiPriority w:val="99"/>
    <w:rsid w:val="001A6B6E"/>
    <w:rPr>
      <w:rFonts w:ascii="Microsoft Sans Serif" w:eastAsia="Microsoft Sans Serif" w:hAnsi="Microsoft Sans Serif" w:cs="Microsoft Sans Serif"/>
      <w:lang w:val="fr-FR"/>
    </w:rPr>
  </w:style>
  <w:style w:type="character" w:styleId="Lienhypertexte">
    <w:name w:val="Hyperlink"/>
    <w:basedOn w:val="Policepardfaut"/>
    <w:uiPriority w:val="99"/>
    <w:unhideWhenUsed/>
    <w:rsid w:val="009F00B6"/>
    <w:rPr>
      <w:color w:val="0000FF" w:themeColor="hyperlink"/>
      <w:u w:val="single"/>
    </w:rPr>
  </w:style>
  <w:style w:type="paragraph" w:styleId="Notedebasdepage">
    <w:name w:val="footnote text"/>
    <w:basedOn w:val="Normal"/>
    <w:link w:val="NotedebasdepageCar"/>
    <w:uiPriority w:val="99"/>
    <w:unhideWhenUsed/>
    <w:qFormat/>
    <w:rsid w:val="008A2C6B"/>
    <w:pPr>
      <w:overflowPunct w:val="0"/>
      <w:adjustRightInd w:val="0"/>
      <w:spacing w:before="120" w:after="240"/>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8A2C6B"/>
    <w:rPr>
      <w:rFonts w:ascii="Times New Roman" w:eastAsia="Times New Roman" w:hAnsi="Times New Roman" w:cs="Times New Roman"/>
      <w:sz w:val="20"/>
      <w:szCs w:val="20"/>
      <w:lang w:val="fr-FR" w:eastAsia="fr-FR"/>
    </w:rPr>
  </w:style>
  <w:style w:type="character" w:styleId="Appelnotedebasdep">
    <w:name w:val="footnote reference"/>
    <w:uiPriority w:val="99"/>
    <w:semiHidden/>
    <w:unhideWhenUsed/>
    <w:rsid w:val="008A2C6B"/>
    <w:rPr>
      <w:vertAlign w:val="superscript"/>
    </w:rPr>
  </w:style>
  <w:style w:type="paragraph" w:styleId="Rvision">
    <w:name w:val="Revision"/>
    <w:hidden/>
    <w:uiPriority w:val="99"/>
    <w:semiHidden/>
    <w:rsid w:val="00892A80"/>
    <w:pPr>
      <w:widowControl/>
      <w:autoSpaceDE/>
      <w:autoSpaceDN/>
    </w:pPr>
    <w:rPr>
      <w:rFonts w:ascii="Microsoft Sans Serif" w:eastAsia="Microsoft Sans Serif" w:hAnsi="Microsoft Sans Serif" w:cs="Microsoft Sans Seri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00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quechoisir.org/action-ufc-que-choisir-fraude-a-la-carte-bancaire-et-crise-sanitaire-les-consommateurs-font-toujours-plus-les-frais-de-fraudes-n84415/" TargetMode="External"/><Relationship Id="rId1" Type="http://schemas.openxmlformats.org/officeDocument/2006/relationships/hyperlink" Target="https://www.quechoisir.org/action-ufc-que-choisir-fraude-a-la-carte-bancaire-pas-de-report-pour-rembourser-les-consommateurs-n70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3721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Bartlome</dc:creator>
  <cp:lastModifiedBy>JPMA</cp:lastModifiedBy>
  <cp:revision>3</cp:revision>
  <cp:lastPrinted>2022-06-23T06:23:00Z</cp:lastPrinted>
  <dcterms:created xsi:type="dcterms:W3CDTF">2022-06-25T12:19:00Z</dcterms:created>
  <dcterms:modified xsi:type="dcterms:W3CDTF">2022-06-26T08:30:00Z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2015-05-25T00:00:00Z</vt:filetime>
  </property>
  <property fmtid="{D5CDD505-2E9C-101B-9397-08002B2CF9AE}" pid="3" name="Creator">
    <vt:lpwstr>Microsoft® Word 2010</vt:lpwstr>
  </property>
  <property fmtid="{D5CDD505-2E9C-101B-9397-08002B2CF9AE}" pid="4" name="LastSaved">
    <vt:filetime>2022-06-22T00:00:00Z</vt:filetime>
  </property>
</Properties>
</file>